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7E70" w:rsidRPr="00147E70" w:rsidRDefault="00147E70" w:rsidP="00147E70">
      <w:pPr>
        <w:spacing w:after="0"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Instrução Normativa nº 4 de 13/04/2011 / IBAMA - Instituto Brasileiro do Meio Ambiente e dos Recursos Naturais Renováveis</w:t>
      </w:r>
      <w:r w:rsidRPr="00147E70">
        <w:rPr>
          <w:rFonts w:ascii="Arial" w:eastAsia="Times New Roman" w:hAnsi="Arial" w:cs="Arial"/>
          <w:color w:val="333333"/>
          <w:sz w:val="24"/>
          <w:szCs w:val="24"/>
          <w:lang w:eastAsia="pt-BR"/>
        </w:rPr>
        <w:br/>
      </w:r>
      <w:proofErr w:type="gramStart"/>
      <w:r w:rsidRPr="00147E70">
        <w:rPr>
          <w:rFonts w:ascii="Arial" w:eastAsia="Times New Roman" w:hAnsi="Arial" w:cs="Arial"/>
          <w:color w:val="333333"/>
          <w:sz w:val="24"/>
          <w:szCs w:val="24"/>
          <w:lang w:eastAsia="pt-BR"/>
        </w:rPr>
        <w:t>(</w:t>
      </w:r>
      <w:proofErr w:type="spellStart"/>
      <w:proofErr w:type="gramEnd"/>
      <w:r w:rsidRPr="00147E70">
        <w:rPr>
          <w:rFonts w:ascii="Arial" w:eastAsia="Times New Roman" w:hAnsi="Arial" w:cs="Arial"/>
          <w:color w:val="333333"/>
          <w:sz w:val="24"/>
          <w:szCs w:val="24"/>
          <w:lang w:eastAsia="pt-BR"/>
        </w:rPr>
        <w:t>D.O.U.</w:t>
      </w:r>
      <w:proofErr w:type="spellEnd"/>
      <w:r w:rsidRPr="00147E70">
        <w:rPr>
          <w:rFonts w:ascii="Arial" w:eastAsia="Times New Roman" w:hAnsi="Arial" w:cs="Arial"/>
          <w:color w:val="333333"/>
          <w:sz w:val="24"/>
          <w:szCs w:val="24"/>
          <w:lang w:eastAsia="pt-BR"/>
        </w:rPr>
        <w:t xml:space="preserve"> 14/04/2011)</w:t>
      </w:r>
      <w:r w:rsidRPr="00147E70">
        <w:rPr>
          <w:rFonts w:ascii="Arial" w:eastAsia="Times New Roman" w:hAnsi="Arial" w:cs="Arial"/>
          <w:color w:val="333333"/>
          <w:sz w:val="24"/>
          <w:szCs w:val="24"/>
          <w:lang w:eastAsia="pt-BR"/>
        </w:rPr>
        <w:br/>
      </w:r>
      <w:r w:rsidRPr="00147E70">
        <w:rPr>
          <w:rFonts w:ascii="Arial" w:eastAsia="Times New Roman" w:hAnsi="Arial" w:cs="Arial"/>
          <w:color w:val="333333"/>
          <w:sz w:val="24"/>
          <w:szCs w:val="24"/>
          <w:lang w:eastAsia="pt-BR"/>
        </w:rPr>
        <w:br/>
      </w:r>
      <w:r w:rsidRPr="00147E70">
        <w:rPr>
          <w:rFonts w:ascii="Arial" w:eastAsia="Times New Roman" w:hAnsi="Arial" w:cs="Arial"/>
          <w:b/>
          <w:bCs/>
          <w:i/>
          <w:iCs/>
          <w:color w:val="333333"/>
          <w:sz w:val="24"/>
          <w:szCs w:val="24"/>
          <w:u w:val="single"/>
          <w:lang w:eastAsia="pt-BR"/>
        </w:rPr>
        <w:t>Procedimentos para elaboração de Projeto de Recuperação de Área Degradada - PRAD ou Área Alterada, para fins de cumprimento da legislação ambiental.</w:t>
      </w:r>
      <w:r w:rsidRPr="00147E70">
        <w:rPr>
          <w:rFonts w:ascii="Arial" w:eastAsia="Times New Roman" w:hAnsi="Arial" w:cs="Arial"/>
          <w:color w:val="333333"/>
          <w:sz w:val="24"/>
          <w:szCs w:val="24"/>
          <w:lang w:eastAsia="pt-BR"/>
        </w:rPr>
        <w:br/>
        <w:t>Estabelecer procedimentos para elaboração de Projeto de Recuperação de Área Degradada - PRAD ou Área Alterada, para fins de cumprimento da legislação ambiental, bem como dos Termos de Referência constantes dos Anexos I e II desta Instrução Normativa.</w:t>
      </w:r>
      <w:r w:rsidRPr="00147E70">
        <w:rPr>
          <w:rFonts w:ascii="Arial" w:eastAsia="Times New Roman" w:hAnsi="Arial" w:cs="Arial"/>
          <w:color w:val="333333"/>
          <w:sz w:val="24"/>
          <w:szCs w:val="24"/>
          <w:lang w:eastAsia="pt-BR"/>
        </w:rPr>
        <w:br/>
      </w:r>
      <w:r w:rsidRPr="00147E70">
        <w:rPr>
          <w:rFonts w:ascii="Arial" w:eastAsia="Times New Roman" w:hAnsi="Arial" w:cs="Arial"/>
          <w:color w:val="333333"/>
          <w:sz w:val="24"/>
          <w:szCs w:val="24"/>
          <w:lang w:eastAsia="pt-BR"/>
        </w:rPr>
        <w:br/>
        <w:t xml:space="preserve">INSTRUÇAO NORMATIVA Nº. </w:t>
      </w:r>
      <w:proofErr w:type="gramStart"/>
      <w:r w:rsidRPr="00147E70">
        <w:rPr>
          <w:rFonts w:ascii="Arial" w:eastAsia="Times New Roman" w:hAnsi="Arial" w:cs="Arial"/>
          <w:color w:val="333333"/>
          <w:sz w:val="24"/>
          <w:szCs w:val="24"/>
          <w:lang w:eastAsia="pt-BR"/>
        </w:rPr>
        <w:t>4</w:t>
      </w:r>
      <w:proofErr w:type="gramEnd"/>
      <w:r w:rsidRPr="00147E70">
        <w:rPr>
          <w:rFonts w:ascii="Arial" w:eastAsia="Times New Roman" w:hAnsi="Arial" w:cs="Arial"/>
          <w:color w:val="333333"/>
          <w:sz w:val="24"/>
          <w:szCs w:val="24"/>
          <w:lang w:eastAsia="pt-BR"/>
        </w:rPr>
        <w:t xml:space="preserve">, DE 13 DE ABRIL DE 2011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O PRESIDENTE DO INSTITUTO BRASILEIRO DO MEIO AMBIENTE E DOS RECURSOS NATURAIS RENOVÁ- VEIS - IBAMA, no uso das atribuições que lhe confere o art. 22 do Anexo I ao Decreto no 6.099, de 26 de abril de 2007, e no art. 95, inciso VI, do Anexo à Portaria GM/MMA </w:t>
      </w:r>
      <w:proofErr w:type="gramStart"/>
      <w:r w:rsidRPr="00147E70">
        <w:rPr>
          <w:rFonts w:ascii="Arial" w:eastAsia="Times New Roman" w:hAnsi="Arial" w:cs="Arial"/>
          <w:color w:val="333333"/>
          <w:sz w:val="24"/>
          <w:szCs w:val="24"/>
          <w:lang w:eastAsia="pt-BR"/>
        </w:rPr>
        <w:t>no 230</w:t>
      </w:r>
      <w:proofErr w:type="gramEnd"/>
      <w:r w:rsidRPr="00147E70">
        <w:rPr>
          <w:rFonts w:ascii="Arial" w:eastAsia="Times New Roman" w:hAnsi="Arial" w:cs="Arial"/>
          <w:color w:val="333333"/>
          <w:sz w:val="24"/>
          <w:szCs w:val="24"/>
          <w:lang w:eastAsia="pt-BR"/>
        </w:rPr>
        <w:t xml:space="preserve">, de 14 de maio de 2002, e tendo em vista o disposto no art. 2o, inciso VIII, da Lei no 6.938 , de 31 de agosto de 1981 e no art. 225, §§ 2º e 3º da Constituição Federal, e o que consta do Processo no 02001.000775/2009-47; e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Considerando a necessidade de fazer cumprir a legislação ambiental, especialmente no que concerne aos procedimentos relativos </w:t>
      </w:r>
      <w:proofErr w:type="gramStart"/>
      <w:r w:rsidRPr="00147E70">
        <w:rPr>
          <w:rFonts w:ascii="Arial" w:eastAsia="Times New Roman" w:hAnsi="Arial" w:cs="Arial"/>
          <w:color w:val="333333"/>
          <w:sz w:val="24"/>
          <w:szCs w:val="24"/>
          <w:lang w:eastAsia="pt-BR"/>
        </w:rPr>
        <w:t>a</w:t>
      </w:r>
      <w:proofErr w:type="gramEnd"/>
      <w:r w:rsidRPr="00147E70">
        <w:rPr>
          <w:rFonts w:ascii="Arial" w:eastAsia="Times New Roman" w:hAnsi="Arial" w:cs="Arial"/>
          <w:color w:val="333333"/>
          <w:sz w:val="24"/>
          <w:szCs w:val="24"/>
          <w:lang w:eastAsia="pt-BR"/>
        </w:rPr>
        <w:t xml:space="preserve"> reparação de danos ambientais;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Considerando a necessidade de estabelecer exigências mínimas e nortear a elaboração de Projetos de Recuperação de Áreas Degradadas - PRAD ou Áreas Alteradas, resolve: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CAPÍTULO I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DAS DISPOSIÇÕES GERAIS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Art. 1o Estabelecer procedimentos para elaboração de Projeto de Recuperação de Área Degradada - PRAD ou Área Alterada, para fins de cumprimento da legislação ambiental, bem como dos Termos de Referência constantes dos Anexos I e II desta Instrução Normativa.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 1o Os Termos de Referência de que trata o caput deste artigo estabelecem diretrizes e orientações técnicas voltadas à apresentação de PRAD e PRAD Simplificado.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 2o O PRAD deverá reunir informações, diagnósticos, levantamentos e estudos que permitam a avaliação da degradação ou alteração e a </w:t>
      </w:r>
      <w:proofErr w:type="spellStart"/>
      <w:r w:rsidRPr="00147E70">
        <w:rPr>
          <w:rFonts w:ascii="Arial" w:eastAsia="Times New Roman" w:hAnsi="Arial" w:cs="Arial"/>
          <w:color w:val="333333"/>
          <w:sz w:val="24"/>
          <w:szCs w:val="24"/>
          <w:lang w:eastAsia="pt-BR"/>
        </w:rPr>
        <w:t>consequente</w:t>
      </w:r>
      <w:proofErr w:type="spellEnd"/>
      <w:r w:rsidRPr="00147E70">
        <w:rPr>
          <w:rFonts w:ascii="Arial" w:eastAsia="Times New Roman" w:hAnsi="Arial" w:cs="Arial"/>
          <w:color w:val="333333"/>
          <w:sz w:val="24"/>
          <w:szCs w:val="24"/>
          <w:lang w:eastAsia="pt-BR"/>
        </w:rPr>
        <w:t xml:space="preserve"> definição de medidas adequadas à recuperação da área, em conformidade com as especificações dos Termos de Referência constantes nos Anexos desta Instrução Normativa.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lastRenderedPageBreak/>
        <w:t xml:space="preserve">§ 3o Desde que tecnicamente justificado o PRAD poderá contemplar peculiaridades locais sem necessariamente atender todas as diretrizes e orientações técnicas constantes nos Termos de Referência.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 4o A depender das condições da área a ser recuperada e das demais condições apontadas na análise técnica, poderá ser estimulada e conduzida </w:t>
      </w:r>
      <w:proofErr w:type="gramStart"/>
      <w:r w:rsidRPr="00147E70">
        <w:rPr>
          <w:rFonts w:ascii="Arial" w:eastAsia="Times New Roman" w:hAnsi="Arial" w:cs="Arial"/>
          <w:color w:val="333333"/>
          <w:sz w:val="24"/>
          <w:szCs w:val="24"/>
          <w:lang w:eastAsia="pt-BR"/>
        </w:rPr>
        <w:t>a</w:t>
      </w:r>
      <w:proofErr w:type="gramEnd"/>
      <w:r w:rsidRPr="00147E70">
        <w:rPr>
          <w:rFonts w:ascii="Arial" w:eastAsia="Times New Roman" w:hAnsi="Arial" w:cs="Arial"/>
          <w:color w:val="333333"/>
          <w:sz w:val="24"/>
          <w:szCs w:val="24"/>
          <w:lang w:eastAsia="pt-BR"/>
        </w:rPr>
        <w:t xml:space="preserve"> regeneração natural da vegetação nativa.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 5o O IBAMA, em razão da análise técnica a ser realizada nas áreas degradadas ou alteradas, em pequena propriedade rural ou posse rural familiar, conforme definidos em legislação específica, poderá indicar a adoção do Termo de Referência para elaboração de Projeto Simplificado de Recuperação de Área Degradada ou Alterada de Pequena Propriedade Rural ou Posse Rural Familiar, conforme Anexo II desta Instrução Normativa.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 6o Para os casos em que o PRAD ou o PRAD Simplificado forem considerados, em razão da análise técnica, como projetos que excedam as necessidades locais para a recuperação de Áreas Degradadas ou Alteradas, poderá ser adotado Termo de Compromisso vinculado a Termo de Referência específico, conforme Anexos IV e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V desta Instrução Normativa.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 7o Para os médios e grandes imóveis rurais, poderão ser adotados o Termo de Referência para elaboração de PRAD Simplificado ou o Termo de Compromisso referenciados no § 6o, em razão de análise </w:t>
      </w:r>
      <w:proofErr w:type="gramStart"/>
      <w:r w:rsidRPr="00147E70">
        <w:rPr>
          <w:rFonts w:ascii="Arial" w:eastAsia="Times New Roman" w:hAnsi="Arial" w:cs="Arial"/>
          <w:color w:val="333333"/>
          <w:sz w:val="24"/>
          <w:szCs w:val="24"/>
          <w:lang w:eastAsia="pt-BR"/>
        </w:rPr>
        <w:t>técnica ,</w:t>
      </w:r>
      <w:proofErr w:type="gramEnd"/>
      <w:r w:rsidRPr="00147E70">
        <w:rPr>
          <w:rFonts w:ascii="Arial" w:eastAsia="Times New Roman" w:hAnsi="Arial" w:cs="Arial"/>
          <w:color w:val="333333"/>
          <w:sz w:val="24"/>
          <w:szCs w:val="24"/>
          <w:lang w:eastAsia="pt-BR"/>
        </w:rPr>
        <w:t xml:space="preserve"> para as áreas alteradas em tamanho inferior ou igual à pequena propriedade rural ou posse rural familiar.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Art. 2o O PRAD deverá informar os métodos e técnicas a serem empregados de acordo com as peculiaridades de cada área, devendo ser utilizados de forma isolada ou conjunta, preferencialmente aqueles de eficácia já comprovada.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 1o O PRAD deverá propor medidas que assegurem a proteção das áreas degradadas ou alteradas de quaisquer fatores que possam dificultar ou impedir o processo de recuperação.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 2o Deverá ser dada atenção especial à proteção e conservação do solo e dos recursos hídricos e, </w:t>
      </w:r>
      <w:proofErr w:type="gramStart"/>
      <w:r w:rsidRPr="00147E70">
        <w:rPr>
          <w:rFonts w:ascii="Arial" w:eastAsia="Times New Roman" w:hAnsi="Arial" w:cs="Arial"/>
          <w:color w:val="333333"/>
          <w:sz w:val="24"/>
          <w:szCs w:val="24"/>
          <w:lang w:eastAsia="pt-BR"/>
        </w:rPr>
        <w:t>caso se façam</w:t>
      </w:r>
      <w:proofErr w:type="gramEnd"/>
      <w:r w:rsidRPr="00147E70">
        <w:rPr>
          <w:rFonts w:ascii="Arial" w:eastAsia="Times New Roman" w:hAnsi="Arial" w:cs="Arial"/>
          <w:color w:val="333333"/>
          <w:sz w:val="24"/>
          <w:szCs w:val="24"/>
          <w:lang w:eastAsia="pt-BR"/>
        </w:rPr>
        <w:t xml:space="preserve"> necessárias, técnicas de controle da erosão deverão ser executadas.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 3o O PRAD deverá apresentar embasamento teórico que contemple as variáveis ambientais e seu funcionamento similar ao dos ecossistemas da região.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Art. 3o O PRAD e o PRAD Simplificado deverão conter planilha(s) com </w:t>
      </w:r>
      <w:proofErr w:type="gramStart"/>
      <w:r w:rsidRPr="00147E70">
        <w:rPr>
          <w:rFonts w:ascii="Arial" w:eastAsia="Times New Roman" w:hAnsi="Arial" w:cs="Arial"/>
          <w:color w:val="333333"/>
          <w:sz w:val="24"/>
          <w:szCs w:val="24"/>
          <w:lang w:eastAsia="pt-BR"/>
        </w:rPr>
        <w:t>o detalhamento dos custos de todas as atividade previstas</w:t>
      </w:r>
      <w:proofErr w:type="gramEnd"/>
      <w:r w:rsidRPr="00147E70">
        <w:rPr>
          <w:rFonts w:ascii="Arial" w:eastAsia="Times New Roman" w:hAnsi="Arial" w:cs="Arial"/>
          <w:color w:val="333333"/>
          <w:sz w:val="24"/>
          <w:szCs w:val="24"/>
          <w:lang w:eastAsia="pt-BR"/>
        </w:rPr>
        <w:t xml:space="preserve">, conforme, respectivamente, Anexos I-B e II-B desta Instrução Normativa.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lastRenderedPageBreak/>
        <w:t xml:space="preserve">CAPÍTULO II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DAS DEFINIÇÕES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Art. 4o Para efeitos desta Instrução Normativa, </w:t>
      </w:r>
      <w:proofErr w:type="spellStart"/>
      <w:r w:rsidRPr="00147E70">
        <w:rPr>
          <w:rFonts w:ascii="Arial" w:eastAsia="Times New Roman" w:hAnsi="Arial" w:cs="Arial"/>
          <w:color w:val="333333"/>
          <w:sz w:val="24"/>
          <w:szCs w:val="24"/>
          <w:lang w:eastAsia="pt-BR"/>
        </w:rPr>
        <w:t>considerase</w:t>
      </w:r>
      <w:proofErr w:type="spellEnd"/>
      <w:r w:rsidRPr="00147E70">
        <w:rPr>
          <w:rFonts w:ascii="Arial" w:eastAsia="Times New Roman" w:hAnsi="Arial" w:cs="Arial"/>
          <w:color w:val="333333"/>
          <w:sz w:val="24"/>
          <w:szCs w:val="24"/>
          <w:lang w:eastAsia="pt-BR"/>
        </w:rPr>
        <w:t xml:space="preserve">: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I- área degradada: área impossibilitada de retornar por uma trajetória natural, a um ecossistema que se assemelhe a um estado conhecido antes, ou para outro estado que poderia ser esperado;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II- área alterada ou perturbada: área que após o impacto ainda mantém meios de regeneração biótica, ou seja, possui capacidade de regeneração natural;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III- recuperação: restituição de um ecossistema ou de uma população silvestre degradada a uma condição não degradada, que pode ser diferente de sua condição original, conforme art. 2o, inciso XIII, da Lei no 9.985, de 18 de julho de 2000;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IV- sistema </w:t>
      </w:r>
      <w:proofErr w:type="spellStart"/>
      <w:r w:rsidRPr="00147E70">
        <w:rPr>
          <w:rFonts w:ascii="Arial" w:eastAsia="Times New Roman" w:hAnsi="Arial" w:cs="Arial"/>
          <w:color w:val="333333"/>
          <w:sz w:val="24"/>
          <w:szCs w:val="24"/>
          <w:lang w:eastAsia="pt-BR"/>
        </w:rPr>
        <w:t>agroflorestal</w:t>
      </w:r>
      <w:proofErr w:type="spellEnd"/>
      <w:r w:rsidRPr="00147E70">
        <w:rPr>
          <w:rFonts w:ascii="Arial" w:eastAsia="Times New Roman" w:hAnsi="Arial" w:cs="Arial"/>
          <w:color w:val="333333"/>
          <w:sz w:val="24"/>
          <w:szCs w:val="24"/>
          <w:lang w:eastAsia="pt-BR"/>
        </w:rPr>
        <w:t xml:space="preserve"> - SAF: forma de uso da terra na </w:t>
      </w:r>
      <w:proofErr w:type="gramStart"/>
      <w:r w:rsidRPr="00147E70">
        <w:rPr>
          <w:rFonts w:ascii="Arial" w:eastAsia="Times New Roman" w:hAnsi="Arial" w:cs="Arial"/>
          <w:color w:val="333333"/>
          <w:sz w:val="24"/>
          <w:szCs w:val="24"/>
          <w:lang w:eastAsia="pt-BR"/>
        </w:rPr>
        <w:t>qual espécies</w:t>
      </w:r>
      <w:proofErr w:type="gramEnd"/>
      <w:r w:rsidRPr="00147E70">
        <w:rPr>
          <w:rFonts w:ascii="Arial" w:eastAsia="Times New Roman" w:hAnsi="Arial" w:cs="Arial"/>
          <w:color w:val="333333"/>
          <w:sz w:val="24"/>
          <w:szCs w:val="24"/>
          <w:lang w:eastAsia="pt-BR"/>
        </w:rPr>
        <w:t xml:space="preserve"> lenhosas perenes são cultivadas consorciadas a espécies herbáceas ou animais, com a obtenção dos benefícios das interações ecológicas e econômicas resultantes;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V- espécie exótica: espécie não originária do bioma de ocorrência de determinada área geográfica, ou seja, qualquer espécie fora de sua área natural de distribuição geográfica;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VI- espécies-problema ou espécies invasoras: espécies exóticas ou nativas que formem populações fora de seu sistema de ocorrência natural ou que excedam o tamanho populacional desejável, respectivamente, interferindo negativamente no desenvolvimento da recuperação ecossistêmica;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VII- espécie ameaçada de extinção: </w:t>
      </w:r>
      <w:proofErr w:type="gramStart"/>
      <w:r w:rsidRPr="00147E70">
        <w:rPr>
          <w:rFonts w:ascii="Arial" w:eastAsia="Times New Roman" w:hAnsi="Arial" w:cs="Arial"/>
          <w:color w:val="333333"/>
          <w:sz w:val="24"/>
          <w:szCs w:val="24"/>
          <w:lang w:eastAsia="pt-BR"/>
        </w:rPr>
        <w:t>espécie que se encontra em perigo de extinção, sendo sua sobrevivência incerta, caso</w:t>
      </w:r>
      <w:proofErr w:type="gramEnd"/>
      <w:r w:rsidRPr="00147E70">
        <w:rPr>
          <w:rFonts w:ascii="Arial" w:eastAsia="Times New Roman" w:hAnsi="Arial" w:cs="Arial"/>
          <w:color w:val="333333"/>
          <w:sz w:val="24"/>
          <w:szCs w:val="24"/>
          <w:lang w:eastAsia="pt-BR"/>
        </w:rPr>
        <w:t xml:space="preserve"> os fatores que causam essa ameaça continuem atuando e constante de listas oficiais de espécies em extinção;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VIII- espécies pioneiras e espécies tardias: o primeiro grupo ecológico contempla as espécies pioneiras e secundárias iniciais, enquanto que o segundo contempla as espécies secundárias tardias e as </w:t>
      </w:r>
      <w:proofErr w:type="spellStart"/>
      <w:r w:rsidRPr="00147E70">
        <w:rPr>
          <w:rFonts w:ascii="Arial" w:eastAsia="Times New Roman" w:hAnsi="Arial" w:cs="Arial"/>
          <w:color w:val="333333"/>
          <w:sz w:val="24"/>
          <w:szCs w:val="24"/>
          <w:lang w:eastAsia="pt-BR"/>
        </w:rPr>
        <w:t>climáxicas</w:t>
      </w:r>
      <w:proofErr w:type="spellEnd"/>
      <w:r w:rsidRPr="00147E70">
        <w:rPr>
          <w:rFonts w:ascii="Arial" w:eastAsia="Times New Roman" w:hAnsi="Arial" w:cs="Arial"/>
          <w:color w:val="333333"/>
          <w:sz w:val="24"/>
          <w:szCs w:val="24"/>
          <w:lang w:eastAsia="pt-BR"/>
        </w:rPr>
        <w:t xml:space="preserve">;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IX - espécies </w:t>
      </w:r>
      <w:proofErr w:type="spellStart"/>
      <w:r w:rsidRPr="00147E70">
        <w:rPr>
          <w:rFonts w:ascii="Arial" w:eastAsia="Times New Roman" w:hAnsi="Arial" w:cs="Arial"/>
          <w:color w:val="333333"/>
          <w:sz w:val="24"/>
          <w:szCs w:val="24"/>
          <w:lang w:eastAsia="pt-BR"/>
        </w:rPr>
        <w:t>zoocóricas</w:t>
      </w:r>
      <w:proofErr w:type="spellEnd"/>
      <w:r w:rsidRPr="00147E70">
        <w:rPr>
          <w:rFonts w:ascii="Arial" w:eastAsia="Times New Roman" w:hAnsi="Arial" w:cs="Arial"/>
          <w:color w:val="333333"/>
          <w:sz w:val="24"/>
          <w:szCs w:val="24"/>
          <w:lang w:eastAsia="pt-BR"/>
        </w:rPr>
        <w:t xml:space="preserve">: espécies vegetais dispersas pela fauna.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CAPÍTULO III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DOS PROCEDIMENTOS INICIAIS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Art. 5o O PRAD, a ser elaborado de acordo com o Termo de Referência, deverá ser protocolizado no IBAMA em 02 (duas) vias, sendo uma em meio </w:t>
      </w:r>
      <w:r w:rsidRPr="00147E70">
        <w:rPr>
          <w:rFonts w:ascii="Arial" w:eastAsia="Times New Roman" w:hAnsi="Arial" w:cs="Arial"/>
          <w:color w:val="333333"/>
          <w:sz w:val="24"/>
          <w:szCs w:val="24"/>
          <w:lang w:eastAsia="pt-BR"/>
        </w:rPr>
        <w:lastRenderedPageBreak/>
        <w:t xml:space="preserve">impresso e outra em meio digital, acompanhado de cópia dos seguintes documentos: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I - documentação do requerente;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II - documentação da propriedade ou posse;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III - cadastro no ato declaratório ambiental - ADA ao IBAMA, se for o caso;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IV- certificado de registro do responsável técnico no Cadastro Técnico Federal do IBAMA - CTF, se for o caso;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V- anotação de responsabilidade </w:t>
      </w:r>
      <w:proofErr w:type="spellStart"/>
      <w:r w:rsidRPr="00147E70">
        <w:rPr>
          <w:rFonts w:ascii="Arial" w:eastAsia="Times New Roman" w:hAnsi="Arial" w:cs="Arial"/>
          <w:color w:val="333333"/>
          <w:sz w:val="24"/>
          <w:szCs w:val="24"/>
          <w:lang w:eastAsia="pt-BR"/>
        </w:rPr>
        <w:t>técnica-ART</w:t>
      </w:r>
      <w:proofErr w:type="spellEnd"/>
      <w:r w:rsidRPr="00147E70">
        <w:rPr>
          <w:rFonts w:ascii="Arial" w:eastAsia="Times New Roman" w:hAnsi="Arial" w:cs="Arial"/>
          <w:color w:val="333333"/>
          <w:sz w:val="24"/>
          <w:szCs w:val="24"/>
          <w:lang w:eastAsia="pt-BR"/>
        </w:rPr>
        <w:t xml:space="preserve">, devidamente recolhida, se for o caso, do(s) técnico(s) </w:t>
      </w:r>
      <w:proofErr w:type="gramStart"/>
      <w:r w:rsidRPr="00147E70">
        <w:rPr>
          <w:rFonts w:ascii="Arial" w:eastAsia="Times New Roman" w:hAnsi="Arial" w:cs="Arial"/>
          <w:color w:val="333333"/>
          <w:sz w:val="24"/>
          <w:szCs w:val="24"/>
          <w:lang w:eastAsia="pt-BR"/>
        </w:rPr>
        <w:t>responsável(</w:t>
      </w:r>
      <w:proofErr w:type="gramEnd"/>
      <w:r w:rsidRPr="00147E70">
        <w:rPr>
          <w:rFonts w:ascii="Arial" w:eastAsia="Times New Roman" w:hAnsi="Arial" w:cs="Arial"/>
          <w:color w:val="333333"/>
          <w:sz w:val="24"/>
          <w:szCs w:val="24"/>
          <w:lang w:eastAsia="pt-BR"/>
        </w:rPr>
        <w:t xml:space="preserve">is) pela elaboração e execução do PRAD, exceto para os pequenos proprietários rurais ou legítimos detentores de posse rural familiar, conforme definido em legislação específica;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VI- informações </w:t>
      </w:r>
      <w:proofErr w:type="spellStart"/>
      <w:r w:rsidRPr="00147E70">
        <w:rPr>
          <w:rFonts w:ascii="Arial" w:eastAsia="Times New Roman" w:hAnsi="Arial" w:cs="Arial"/>
          <w:color w:val="333333"/>
          <w:sz w:val="24"/>
          <w:szCs w:val="24"/>
          <w:lang w:eastAsia="pt-BR"/>
        </w:rPr>
        <w:t>georreferenciadas</w:t>
      </w:r>
      <w:proofErr w:type="spellEnd"/>
      <w:r w:rsidRPr="00147E70">
        <w:rPr>
          <w:rFonts w:ascii="Arial" w:eastAsia="Times New Roman" w:hAnsi="Arial" w:cs="Arial"/>
          <w:color w:val="333333"/>
          <w:sz w:val="24"/>
          <w:szCs w:val="24"/>
          <w:lang w:eastAsia="pt-BR"/>
        </w:rPr>
        <w:t xml:space="preserve"> de todos os vértices das áreas - do imóvel, de Preservação Permanente, de Reserva Legal, a recuperar - a fim de delimitar a(s) </w:t>
      </w:r>
      <w:proofErr w:type="gramStart"/>
      <w:r w:rsidRPr="00147E70">
        <w:rPr>
          <w:rFonts w:ascii="Arial" w:eastAsia="Times New Roman" w:hAnsi="Arial" w:cs="Arial"/>
          <w:color w:val="333333"/>
          <w:sz w:val="24"/>
          <w:szCs w:val="24"/>
          <w:lang w:eastAsia="pt-BR"/>
        </w:rPr>
        <w:t>poligonal(</w:t>
      </w:r>
      <w:proofErr w:type="gramEnd"/>
      <w:r w:rsidRPr="00147E70">
        <w:rPr>
          <w:rFonts w:ascii="Arial" w:eastAsia="Times New Roman" w:hAnsi="Arial" w:cs="Arial"/>
          <w:color w:val="333333"/>
          <w:sz w:val="24"/>
          <w:szCs w:val="24"/>
          <w:lang w:eastAsia="pt-BR"/>
        </w:rPr>
        <w:t xml:space="preserve">is), com a indicação do respectivo DATUM;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VII- mapa ou croqui que possibilite o acesso ao imóvel rural.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Parágrafo único. Aprovado o PRAD ou o PRAD Simplificado pelo IBAMA, o interessado terá até 90 (noventa) dias de prazo para dar início às atividades previstas no Cronograma de Execução constante dos Termos de Referência do PRAD, observadas as condições sazonais da região.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CAPÍTULO IV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DA IMPLANTAÇÃO E MANUTENÇÃO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Art. 6o Quando for proposta a implantação direta de espécies vegetais, </w:t>
      </w:r>
      <w:proofErr w:type="gramStart"/>
      <w:r w:rsidRPr="00147E70">
        <w:rPr>
          <w:rFonts w:ascii="Arial" w:eastAsia="Times New Roman" w:hAnsi="Arial" w:cs="Arial"/>
          <w:color w:val="333333"/>
          <w:sz w:val="24"/>
          <w:szCs w:val="24"/>
          <w:lang w:eastAsia="pt-BR"/>
        </w:rPr>
        <w:t>seja</w:t>
      </w:r>
      <w:proofErr w:type="gramEnd"/>
      <w:r w:rsidRPr="00147E70">
        <w:rPr>
          <w:rFonts w:ascii="Arial" w:eastAsia="Times New Roman" w:hAnsi="Arial" w:cs="Arial"/>
          <w:color w:val="333333"/>
          <w:sz w:val="24"/>
          <w:szCs w:val="24"/>
          <w:lang w:eastAsia="pt-BR"/>
        </w:rPr>
        <w:t xml:space="preserve"> por mudas, sementes ou outras formas de propágulo, deverão ser utilizadas espécies nativas da região na qual estará inserido o projeto de recuperação, incluindo-se, também, aquelas espécies ameaçadas de extinção, as quais deverão ser destacadas no projeto.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Art. 7o Para os casos de plantio de mudas, na definição do número de espécies vegetais nativas e do número de indivíduos por hectare a ser utilizado na recuperação das áreas degradadas ou alteradas, deverão ser considerados trabalhos, pesquisas publicadas, informações técnicas, atos normativos disponíveis, respeitando-se as especificidades e particularidades de cada região, visando identificar a maior diversidade possível de espécies florestais e demais formas de vegetação nativa, buscando-se, com isso, obter maior compatibilidade com a </w:t>
      </w:r>
      <w:proofErr w:type="spellStart"/>
      <w:r w:rsidRPr="00147E70">
        <w:rPr>
          <w:rFonts w:ascii="Arial" w:eastAsia="Times New Roman" w:hAnsi="Arial" w:cs="Arial"/>
          <w:color w:val="333333"/>
          <w:sz w:val="24"/>
          <w:szCs w:val="24"/>
          <w:lang w:eastAsia="pt-BR"/>
        </w:rPr>
        <w:t>fitofisionomia</w:t>
      </w:r>
      <w:proofErr w:type="spellEnd"/>
      <w:r w:rsidRPr="00147E70">
        <w:rPr>
          <w:rFonts w:ascii="Arial" w:eastAsia="Times New Roman" w:hAnsi="Arial" w:cs="Arial"/>
          <w:color w:val="333333"/>
          <w:sz w:val="24"/>
          <w:szCs w:val="24"/>
          <w:lang w:eastAsia="pt-BR"/>
        </w:rPr>
        <w:t xml:space="preserve"> local.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Art. 8o As espécies vegetais utilizadas deverão ser listadas e identificadas por família, nome científico e respectivo nome vulgar.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lastRenderedPageBreak/>
        <w:t xml:space="preserve">Parágrafo único. Na definição das espécies vegetais nativas a serem empregadas na recuperação das áreas degradadas ou alteradas, deverá ser dada atenção especial àquelas espécies adaptadas às condições locais e àquelas com síndrome de dispersão </w:t>
      </w:r>
      <w:proofErr w:type="spellStart"/>
      <w:r w:rsidRPr="00147E70">
        <w:rPr>
          <w:rFonts w:ascii="Arial" w:eastAsia="Times New Roman" w:hAnsi="Arial" w:cs="Arial"/>
          <w:color w:val="333333"/>
          <w:sz w:val="24"/>
          <w:szCs w:val="24"/>
          <w:lang w:eastAsia="pt-BR"/>
        </w:rPr>
        <w:t>zoocórica</w:t>
      </w:r>
      <w:proofErr w:type="spellEnd"/>
      <w:r w:rsidRPr="00147E70">
        <w:rPr>
          <w:rFonts w:ascii="Arial" w:eastAsia="Times New Roman" w:hAnsi="Arial" w:cs="Arial"/>
          <w:color w:val="333333"/>
          <w:sz w:val="24"/>
          <w:szCs w:val="24"/>
          <w:lang w:eastAsia="pt-BR"/>
        </w:rPr>
        <w:t xml:space="preserve">.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Art. 9o Na propriedade ou posse do agricultor familiar, do empreendedor familiar rural ou dos povos e comunidades tradicionais, poderão ser </w:t>
      </w:r>
      <w:proofErr w:type="gramStart"/>
      <w:r w:rsidRPr="00147E70">
        <w:rPr>
          <w:rFonts w:ascii="Arial" w:eastAsia="Times New Roman" w:hAnsi="Arial" w:cs="Arial"/>
          <w:color w:val="333333"/>
          <w:sz w:val="24"/>
          <w:szCs w:val="24"/>
          <w:lang w:eastAsia="pt-BR"/>
        </w:rPr>
        <w:t>utilizados</w:t>
      </w:r>
      <w:proofErr w:type="gramEnd"/>
      <w:r w:rsidRPr="00147E70">
        <w:rPr>
          <w:rFonts w:ascii="Arial" w:eastAsia="Times New Roman" w:hAnsi="Arial" w:cs="Arial"/>
          <w:color w:val="333333"/>
          <w:sz w:val="24"/>
          <w:szCs w:val="24"/>
          <w:lang w:eastAsia="pt-BR"/>
        </w:rPr>
        <w:t xml:space="preserve"> Sistemas </w:t>
      </w:r>
      <w:proofErr w:type="spellStart"/>
      <w:r w:rsidRPr="00147E70">
        <w:rPr>
          <w:rFonts w:ascii="Arial" w:eastAsia="Times New Roman" w:hAnsi="Arial" w:cs="Arial"/>
          <w:color w:val="333333"/>
          <w:sz w:val="24"/>
          <w:szCs w:val="24"/>
          <w:lang w:eastAsia="pt-BR"/>
        </w:rPr>
        <w:t>Agroflorestais</w:t>
      </w:r>
      <w:proofErr w:type="spellEnd"/>
      <w:r w:rsidRPr="00147E70">
        <w:rPr>
          <w:rFonts w:ascii="Arial" w:eastAsia="Times New Roman" w:hAnsi="Arial" w:cs="Arial"/>
          <w:color w:val="333333"/>
          <w:sz w:val="24"/>
          <w:szCs w:val="24"/>
          <w:lang w:eastAsia="pt-BR"/>
        </w:rPr>
        <w:t xml:space="preserve"> - SAF, desde que devidamente justificado no PRAD Simplificado.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Art. 10. A possibilidade de uso futuro da área recuperada obedecerá à legislação vigente, inclusive a exploração mediante manejo ambientalmente sustentável.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Art. 11. Para recuperação das Áreas de Preservação Permanente - APP deverão ser observadas as restrições previstas na legislação aplicável.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Art. 12. Todos os tratos culturais e intervenções que se fizerem necessários durante o processo de recuperação das áreas degradadas ou alteradas deverão ser detalhados no PRAD e no PRAD Simplificado.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Parágrafo único. Quando necessário o controle de espécies invasoras, de pragas e de doenças deverão ser utilizados métodos e produtos que causem o menor impacto possível, observando-se técnicas e normas aplicáveis a cada caso.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CAPÍTULO V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DO MONITORAMENTO E AVALIAÇÃO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Art. 13. </w:t>
      </w:r>
      <w:proofErr w:type="gramStart"/>
      <w:r w:rsidRPr="00147E70">
        <w:rPr>
          <w:rFonts w:ascii="Arial" w:eastAsia="Times New Roman" w:hAnsi="Arial" w:cs="Arial"/>
          <w:color w:val="333333"/>
          <w:sz w:val="24"/>
          <w:szCs w:val="24"/>
          <w:lang w:eastAsia="pt-BR"/>
        </w:rPr>
        <w:t xml:space="preserve">O monitoramento e </w:t>
      </w:r>
      <w:proofErr w:type="spellStart"/>
      <w:r w:rsidRPr="00147E70">
        <w:rPr>
          <w:rFonts w:ascii="Arial" w:eastAsia="Times New Roman" w:hAnsi="Arial" w:cs="Arial"/>
          <w:color w:val="333333"/>
          <w:sz w:val="24"/>
          <w:szCs w:val="24"/>
          <w:lang w:eastAsia="pt-BR"/>
        </w:rPr>
        <w:t>consequente</w:t>
      </w:r>
      <w:proofErr w:type="spellEnd"/>
      <w:r w:rsidRPr="00147E70">
        <w:rPr>
          <w:rFonts w:ascii="Arial" w:eastAsia="Times New Roman" w:hAnsi="Arial" w:cs="Arial"/>
          <w:color w:val="333333"/>
          <w:sz w:val="24"/>
          <w:szCs w:val="24"/>
          <w:lang w:eastAsia="pt-BR"/>
        </w:rPr>
        <w:t xml:space="preserve"> avaliação do PRAD e do PRAD Simplificado é</w:t>
      </w:r>
      <w:proofErr w:type="gramEnd"/>
      <w:r w:rsidRPr="00147E70">
        <w:rPr>
          <w:rFonts w:ascii="Arial" w:eastAsia="Times New Roman" w:hAnsi="Arial" w:cs="Arial"/>
          <w:color w:val="333333"/>
          <w:sz w:val="24"/>
          <w:szCs w:val="24"/>
          <w:lang w:eastAsia="pt-BR"/>
        </w:rPr>
        <w:t xml:space="preserve"> de 03 (três) anos após sua implantação, podendo ser prorrogado por igual período.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Art. 14. O interessado apresentará, no mínimo semestralmente, ao longo da execução do PRAD, Relatórios de Monitoramento, conforme modelo constante do Anexo III desta Instrução Normativa.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 1o Os Relatórios de Monitoramento, a serem elaborados pelo responsável técnico do PRAD poderão ser solicitados pela área técnica do IBAMA, caso a situação requeira, em intervalos de 03 (três) meses.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 2o Ficam isentos da apresentação dos relatórios de que trata o caput deste artigo os pequenos proprietários rurais ou legítimos detentores de posse rural familiar, conforme definidos no </w:t>
      </w:r>
      <w:hyperlink r:id="rId4" w:anchor="art1par2" w:history="1">
        <w:r w:rsidRPr="00147E70">
          <w:rPr>
            <w:rFonts w:ascii="Arial" w:eastAsia="Times New Roman" w:hAnsi="Arial" w:cs="Arial"/>
            <w:color w:val="006699"/>
            <w:sz w:val="24"/>
            <w:szCs w:val="24"/>
            <w:lang w:eastAsia="pt-BR"/>
          </w:rPr>
          <w:t>art. 1º, § 2º, da Lei nº 4.771, de 15 de setembro de 1965</w:t>
        </w:r>
      </w:hyperlink>
      <w:r w:rsidRPr="00147E70">
        <w:rPr>
          <w:rFonts w:ascii="Arial" w:eastAsia="Times New Roman" w:hAnsi="Arial" w:cs="Arial"/>
          <w:color w:val="333333"/>
          <w:sz w:val="24"/>
          <w:szCs w:val="24"/>
          <w:lang w:eastAsia="pt-BR"/>
        </w:rPr>
        <w:t xml:space="preserve">.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Art. 15. As Superintendências do IBAMA farão vistorias por amostragem nas áreas degradadas ou alteradas em processo de recuperação.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lastRenderedPageBreak/>
        <w:t xml:space="preserve">Parágrafo único. O IBAMA efetuará vistoria para quitação do Termo de Compromisso utilizando-se quando necessário, de recursos tecnológicos tais como sensoriamento remoto e </w:t>
      </w:r>
      <w:proofErr w:type="spellStart"/>
      <w:r w:rsidRPr="00147E70">
        <w:rPr>
          <w:rFonts w:ascii="Arial" w:eastAsia="Times New Roman" w:hAnsi="Arial" w:cs="Arial"/>
          <w:color w:val="333333"/>
          <w:sz w:val="24"/>
          <w:szCs w:val="24"/>
          <w:lang w:eastAsia="pt-BR"/>
        </w:rPr>
        <w:t>geoprocessamento</w:t>
      </w:r>
      <w:proofErr w:type="spellEnd"/>
      <w:r w:rsidRPr="00147E70">
        <w:rPr>
          <w:rFonts w:ascii="Arial" w:eastAsia="Times New Roman" w:hAnsi="Arial" w:cs="Arial"/>
          <w:color w:val="333333"/>
          <w:sz w:val="24"/>
          <w:szCs w:val="24"/>
          <w:lang w:eastAsia="pt-BR"/>
        </w:rPr>
        <w:t xml:space="preserve">.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Art. 16. Eventuais alterações das atividades técnicas previstas no PRAD ou no PRAD Simplificado deverão ser encaminhadas ao IBAMA com antecedência mínima de 90 (noventa) dias, com as devidas justificativas, para que sejam submetidas à análise técnica.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Art. 17. Ao final da execução do PRAD, deverá ser apresentado Relatório de Avaliação com indicativos que permitam aferir o grau e a efetividade da recuperação da área e contemplem a recuperação das funções e formas ecossistêmicas no contexto da bacia, da </w:t>
      </w:r>
      <w:proofErr w:type="gramStart"/>
      <w:r w:rsidRPr="00147E70">
        <w:rPr>
          <w:rFonts w:ascii="Arial" w:eastAsia="Times New Roman" w:hAnsi="Arial" w:cs="Arial"/>
          <w:color w:val="333333"/>
          <w:sz w:val="24"/>
          <w:szCs w:val="24"/>
          <w:lang w:eastAsia="pt-BR"/>
        </w:rPr>
        <w:t>sub bacia</w:t>
      </w:r>
      <w:proofErr w:type="gramEnd"/>
      <w:r w:rsidRPr="00147E70">
        <w:rPr>
          <w:rFonts w:ascii="Arial" w:eastAsia="Times New Roman" w:hAnsi="Arial" w:cs="Arial"/>
          <w:color w:val="333333"/>
          <w:sz w:val="24"/>
          <w:szCs w:val="24"/>
          <w:lang w:eastAsia="pt-BR"/>
        </w:rPr>
        <w:t xml:space="preserve"> ou da </w:t>
      </w:r>
      <w:proofErr w:type="spellStart"/>
      <w:r w:rsidRPr="00147E70">
        <w:rPr>
          <w:rFonts w:ascii="Arial" w:eastAsia="Times New Roman" w:hAnsi="Arial" w:cs="Arial"/>
          <w:color w:val="333333"/>
          <w:sz w:val="24"/>
          <w:szCs w:val="24"/>
          <w:lang w:eastAsia="pt-BR"/>
        </w:rPr>
        <w:t>microbacia</w:t>
      </w:r>
      <w:proofErr w:type="spellEnd"/>
      <w:r w:rsidRPr="00147E70">
        <w:rPr>
          <w:rFonts w:ascii="Arial" w:eastAsia="Times New Roman" w:hAnsi="Arial" w:cs="Arial"/>
          <w:color w:val="333333"/>
          <w:sz w:val="24"/>
          <w:szCs w:val="24"/>
          <w:lang w:eastAsia="pt-BR"/>
        </w:rPr>
        <w:t xml:space="preserve">.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 1o O Relatório de Avaliação a ser apresentado ao final do projeto, terá como base os dados constantes dos Relatórios de Monitoramento do PRAD, Anexo III desta Instrução Normativa.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 2o O IBAMA, após a apresentação do Relatório de Avaliação, manifestar-se-á conclusivamente, nos prazos definidos pela legislação.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 3o O responsável técnico pela elaboração e execução do PRAD comunicará, por intermédio dos Relatórios de Monitoramento e de Avaliação, Anexo III desta Instrução Normativa, todas e quaisquer irregularidades e problemas verificados na área em processo de recuperação, sob pena da responsabilidade prevista no </w:t>
      </w:r>
      <w:hyperlink r:id="rId5" w:history="1">
        <w:r w:rsidRPr="00147E70">
          <w:rPr>
            <w:rFonts w:ascii="Arial" w:eastAsia="Times New Roman" w:hAnsi="Arial" w:cs="Arial"/>
            <w:color w:val="006699"/>
            <w:sz w:val="24"/>
            <w:szCs w:val="24"/>
            <w:lang w:eastAsia="pt-BR"/>
          </w:rPr>
          <w:t>Decreto no 6.514, de 22 de julho de 2008</w:t>
        </w:r>
      </w:hyperlink>
      <w:r w:rsidRPr="00147E70">
        <w:rPr>
          <w:rFonts w:ascii="Arial" w:eastAsia="Times New Roman" w:hAnsi="Arial" w:cs="Arial"/>
          <w:color w:val="333333"/>
          <w:sz w:val="24"/>
          <w:szCs w:val="24"/>
          <w:lang w:eastAsia="pt-BR"/>
        </w:rPr>
        <w:t xml:space="preserve">.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proofErr w:type="gramStart"/>
      <w:r w:rsidRPr="00147E70">
        <w:rPr>
          <w:rFonts w:ascii="Arial" w:eastAsia="Times New Roman" w:hAnsi="Arial" w:cs="Arial"/>
          <w:color w:val="333333"/>
          <w:sz w:val="24"/>
          <w:szCs w:val="24"/>
          <w:lang w:eastAsia="pt-BR"/>
        </w:rPr>
        <w:t>CAPÍTULO VI</w:t>
      </w:r>
      <w:proofErr w:type="gramEnd"/>
      <w:r w:rsidRPr="00147E70">
        <w:rPr>
          <w:rFonts w:ascii="Arial" w:eastAsia="Times New Roman" w:hAnsi="Arial" w:cs="Arial"/>
          <w:color w:val="333333"/>
          <w:sz w:val="24"/>
          <w:szCs w:val="24"/>
          <w:lang w:eastAsia="pt-BR"/>
        </w:rPr>
        <w:t xml:space="preserve">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DAS DISPOSIÇÕES FINAIS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Art. 18. Caso os objetivos propostos no PRAD e no PRAD Simplificado não sejam alcançados, a partir de caracterização qualitativa e quantitativa, não será considerada como em efetiva recuperação a área degradada ou alterada, propiciando a reavaliação do projeto e ações técnicas pertinentes.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Art. 19. Os casos omissos serão resolvidos pelo Presidente do IBAMA, ouvida a área técnica. </w:t>
      </w:r>
    </w:p>
    <w:p w:rsidR="00147E70" w:rsidRP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 xml:space="preserve">Art. 20. Esta Instrução Normativa entra em vigor na data de sua publicação. </w:t>
      </w:r>
    </w:p>
    <w:p w:rsidR="00147E70" w:rsidRDefault="00147E70" w:rsidP="00147E70">
      <w:pPr>
        <w:spacing w:before="100" w:beforeAutospacing="1" w:after="100" w:afterAutospacing="1" w:line="240" w:lineRule="auto"/>
        <w:jc w:val="center"/>
        <w:rPr>
          <w:rFonts w:ascii="Arial" w:eastAsia="Times New Roman" w:hAnsi="Arial" w:cs="Arial"/>
          <w:color w:val="333333"/>
          <w:sz w:val="24"/>
          <w:szCs w:val="24"/>
          <w:lang w:eastAsia="pt-BR"/>
        </w:rPr>
      </w:pPr>
      <w:r w:rsidRPr="00147E70">
        <w:rPr>
          <w:rFonts w:ascii="Arial" w:eastAsia="Times New Roman" w:hAnsi="Arial" w:cs="Arial"/>
          <w:color w:val="333333"/>
          <w:sz w:val="24"/>
          <w:szCs w:val="24"/>
          <w:lang w:eastAsia="pt-BR"/>
        </w:rPr>
        <w:t>CURT TRENNEPOHL</w:t>
      </w:r>
    </w:p>
    <w:p w:rsidR="008823B5" w:rsidRDefault="008823B5" w:rsidP="00147E70">
      <w:pPr>
        <w:spacing w:before="100" w:beforeAutospacing="1" w:after="100" w:afterAutospacing="1" w:line="240" w:lineRule="auto"/>
        <w:jc w:val="center"/>
        <w:rPr>
          <w:rFonts w:ascii="Arial" w:eastAsia="Times New Roman" w:hAnsi="Arial" w:cs="Arial"/>
          <w:color w:val="333333"/>
          <w:sz w:val="24"/>
          <w:szCs w:val="24"/>
          <w:lang w:eastAsia="pt-BR"/>
        </w:rPr>
      </w:pPr>
    </w:p>
    <w:p w:rsidR="008823B5" w:rsidRDefault="008823B5" w:rsidP="00147E70">
      <w:pPr>
        <w:spacing w:before="100" w:beforeAutospacing="1" w:after="100" w:afterAutospacing="1" w:line="240" w:lineRule="auto"/>
        <w:jc w:val="center"/>
        <w:rPr>
          <w:rFonts w:ascii="Arial" w:eastAsia="Times New Roman" w:hAnsi="Arial" w:cs="Arial"/>
          <w:color w:val="333333"/>
          <w:sz w:val="24"/>
          <w:szCs w:val="24"/>
          <w:lang w:eastAsia="pt-BR"/>
        </w:rPr>
      </w:pPr>
    </w:p>
    <w:p w:rsidR="008823B5" w:rsidRDefault="008823B5" w:rsidP="00147E70">
      <w:pPr>
        <w:spacing w:before="100" w:beforeAutospacing="1" w:after="100" w:afterAutospacing="1" w:line="240" w:lineRule="auto"/>
        <w:jc w:val="center"/>
        <w:rPr>
          <w:rFonts w:ascii="Arial" w:eastAsia="Times New Roman" w:hAnsi="Arial" w:cs="Arial"/>
          <w:color w:val="333333"/>
          <w:sz w:val="24"/>
          <w:szCs w:val="24"/>
          <w:lang w:eastAsia="pt-BR"/>
        </w:rPr>
      </w:pPr>
    </w:p>
    <w:p w:rsidR="008823B5" w:rsidRPr="008823B5" w:rsidRDefault="008823B5" w:rsidP="008823B5">
      <w:pPr>
        <w:spacing w:before="100" w:beforeAutospacing="1" w:after="100" w:afterAutospacing="1" w:line="240" w:lineRule="auto"/>
        <w:rPr>
          <w:rFonts w:ascii="Arial" w:eastAsia="Times New Roman" w:hAnsi="Arial" w:cs="Arial"/>
          <w:b/>
          <w:color w:val="333333"/>
          <w:sz w:val="24"/>
          <w:szCs w:val="24"/>
          <w:lang w:eastAsia="pt-BR"/>
        </w:rPr>
      </w:pPr>
      <w:r w:rsidRPr="008823B5">
        <w:rPr>
          <w:rFonts w:ascii="Arial" w:eastAsia="Times New Roman" w:hAnsi="Arial" w:cs="Arial"/>
          <w:b/>
          <w:color w:val="333333"/>
          <w:sz w:val="24"/>
          <w:szCs w:val="24"/>
          <w:lang w:eastAsia="pt-BR"/>
        </w:rPr>
        <w:t>Fonte: www.diariodasleis.com.br</w:t>
      </w:r>
    </w:p>
    <w:p w:rsidR="001246A6" w:rsidRDefault="001246A6"/>
    <w:sectPr w:rsidR="001246A6" w:rsidSect="001246A6">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147E70"/>
    <w:rsid w:val="001246A6"/>
    <w:rsid w:val="00147E70"/>
    <w:rsid w:val="008823B5"/>
    <w:rsid w:val="00DF2E3B"/>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46A6"/>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semiHidden/>
    <w:unhideWhenUsed/>
    <w:rsid w:val="00147E70"/>
    <w:rPr>
      <w:strike w:val="0"/>
      <w:dstrike w:val="0"/>
      <w:color w:val="006699"/>
      <w:u w:val="none"/>
      <w:effect w:val="none"/>
    </w:rPr>
  </w:style>
  <w:style w:type="paragraph" w:styleId="NormalWeb">
    <w:name w:val="Normal (Web)"/>
    <w:basedOn w:val="Normal"/>
    <w:uiPriority w:val="99"/>
    <w:semiHidden/>
    <w:unhideWhenUsed/>
    <w:rsid w:val="00147E70"/>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diariodasleis.com.br/busca/exibelink.php?numlink=1-96-13-2008-07-22-6514" TargetMode="External"/><Relationship Id="rId4" Type="http://schemas.openxmlformats.org/officeDocument/2006/relationships/hyperlink" Target="http://www.diariodasleis.com.br/busca/exibelink.php?numlink=1-98-24-1965-09-15-4771"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2070</Words>
  <Characters>11180</Characters>
  <Application>Microsoft Office Word</Application>
  <DocSecurity>0</DocSecurity>
  <Lines>93</Lines>
  <Paragraphs>26</Paragraphs>
  <ScaleCrop>false</ScaleCrop>
  <Company/>
  <LinksUpToDate>false</LinksUpToDate>
  <CharactersWithSpaces>13224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Sergio Garcia de Barros</dc:creator>
  <cp:lastModifiedBy>Sergio Garcia de Barros</cp:lastModifiedBy>
  <cp:revision>3</cp:revision>
  <dcterms:created xsi:type="dcterms:W3CDTF">2011-08-03T13:26:00Z</dcterms:created>
  <dcterms:modified xsi:type="dcterms:W3CDTF">2011-08-03T13:28:00Z</dcterms:modified>
</cp:coreProperties>
</file>